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7B" w:rsidRPr="000D347B" w:rsidRDefault="000D347B" w:rsidP="000D347B">
      <w:pPr>
        <w:adjustRightInd w:val="0"/>
        <w:snapToGrid w:val="0"/>
        <w:spacing w:line="600" w:lineRule="exact"/>
        <w:jc w:val="left"/>
        <w:outlineLvl w:val="2"/>
        <w:rPr>
          <w:rFonts w:ascii="黑体" w:eastAsia="黑体" w:hAnsiTheme="majorEastAsia" w:cs="方正小标宋简体" w:hint="eastAsia"/>
          <w:b/>
          <w:bCs/>
          <w:sz w:val="32"/>
          <w:szCs w:val="32"/>
        </w:rPr>
      </w:pPr>
      <w:r w:rsidRPr="000D347B">
        <w:rPr>
          <w:rFonts w:ascii="黑体" w:eastAsia="黑体" w:hAnsiTheme="majorEastAsia" w:cs="方正小标宋简体" w:hint="eastAsia"/>
          <w:b/>
          <w:bCs/>
          <w:sz w:val="32"/>
          <w:szCs w:val="32"/>
        </w:rPr>
        <w:t>附件二</w:t>
      </w:r>
    </w:p>
    <w:p w:rsidR="000D347B" w:rsidRDefault="000D347B">
      <w:pPr>
        <w:adjustRightInd w:val="0"/>
        <w:snapToGrid w:val="0"/>
        <w:spacing w:line="600" w:lineRule="exact"/>
        <w:jc w:val="center"/>
        <w:outlineLvl w:val="2"/>
        <w:rPr>
          <w:rFonts w:asciiTheme="majorEastAsia" w:eastAsiaTheme="majorEastAsia" w:hAnsiTheme="majorEastAsia" w:cs="方正小标宋简体" w:hint="eastAsia"/>
          <w:b/>
          <w:sz w:val="44"/>
          <w:szCs w:val="44"/>
        </w:rPr>
      </w:pPr>
    </w:p>
    <w:p w:rsidR="001367DD" w:rsidRDefault="001367DD">
      <w:pPr>
        <w:adjustRightInd w:val="0"/>
        <w:snapToGrid w:val="0"/>
        <w:spacing w:line="600" w:lineRule="exact"/>
        <w:jc w:val="center"/>
        <w:outlineLvl w:val="2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1367DD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绍兴市人民防空事业发展“十四五”</w:t>
      </w:r>
    </w:p>
    <w:p w:rsidR="00BC5379" w:rsidRDefault="001367DD">
      <w:pPr>
        <w:adjustRightInd w:val="0"/>
        <w:snapToGrid w:val="0"/>
        <w:spacing w:line="600" w:lineRule="exact"/>
        <w:jc w:val="center"/>
        <w:outlineLvl w:val="2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1367DD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规划编制</w:t>
      </w:r>
      <w:r w:rsidR="00147BB7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评分</w:t>
      </w:r>
      <w:r w:rsidR="0099440C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细则</w:t>
      </w:r>
    </w:p>
    <w:p w:rsidR="0099440C" w:rsidRPr="00020434" w:rsidRDefault="0099440C" w:rsidP="000D347B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</w:t>
      </w:r>
      <w:r w:rsidRPr="00020434">
        <w:rPr>
          <w:rFonts w:ascii="仿宋" w:eastAsia="仿宋" w:hAnsi="仿宋" w:cs="仿宋" w:hint="eastAsia"/>
          <w:bCs/>
          <w:sz w:val="32"/>
          <w:szCs w:val="32"/>
        </w:rPr>
        <w:t>资信技术评分（</w:t>
      </w:r>
      <w:r>
        <w:rPr>
          <w:rFonts w:ascii="仿宋" w:eastAsia="仿宋" w:hAnsi="仿宋" w:cs="仿宋"/>
          <w:bCs/>
          <w:sz w:val="32"/>
          <w:szCs w:val="32"/>
        </w:rPr>
        <w:t>8</w:t>
      </w:r>
      <w:r w:rsidRPr="00020434">
        <w:rPr>
          <w:rFonts w:ascii="仿宋" w:eastAsia="仿宋" w:hAnsi="仿宋" w:cs="仿宋" w:hint="eastAsia"/>
          <w:bCs/>
          <w:sz w:val="32"/>
          <w:szCs w:val="32"/>
        </w:rPr>
        <w:t>0分）</w:t>
      </w:r>
    </w:p>
    <w:p w:rsidR="0099440C" w:rsidRPr="00020434" w:rsidRDefault="00090F70" w:rsidP="000D347B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各评</w:t>
      </w:r>
      <w:r w:rsidRPr="00020434">
        <w:rPr>
          <w:rFonts w:ascii="仿宋" w:eastAsia="仿宋" w:hAnsi="仿宋" w:cs="仿宋" w:hint="eastAsia"/>
          <w:bCs/>
          <w:sz w:val="32"/>
          <w:szCs w:val="32"/>
        </w:rPr>
        <w:t>委会成员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按</w:t>
      </w:r>
      <w:r>
        <w:rPr>
          <w:rFonts w:ascii="仿宋" w:eastAsia="仿宋" w:hAnsi="仿宋" w:cs="仿宋" w:hint="eastAsia"/>
          <w:bCs/>
          <w:sz w:val="32"/>
          <w:szCs w:val="32"/>
        </w:rPr>
        <w:t>本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评分细则进行评审打分，每人一张评分计</w:t>
      </w:r>
      <w:r>
        <w:rPr>
          <w:rFonts w:ascii="仿宋" w:eastAsia="仿宋" w:hAnsi="仿宋" w:cs="仿宋" w:hint="eastAsia"/>
          <w:bCs/>
          <w:sz w:val="32"/>
          <w:szCs w:val="32"/>
        </w:rPr>
        <w:t>分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表，并记名。</w:t>
      </w:r>
      <w:r>
        <w:rPr>
          <w:rFonts w:ascii="仿宋" w:eastAsia="仿宋" w:hAnsi="仿宋" w:cs="仿宋" w:hint="eastAsia"/>
          <w:bCs/>
          <w:sz w:val="32"/>
          <w:szCs w:val="32"/>
        </w:rPr>
        <w:t>响应文件各项评分内容由评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委会成员各自独立评分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如</w:t>
      </w:r>
      <w:r>
        <w:rPr>
          <w:rFonts w:ascii="仿宋" w:eastAsia="仿宋" w:hAnsi="仿宋" w:cs="仿宋" w:hint="eastAsia"/>
          <w:bCs/>
          <w:sz w:val="32"/>
          <w:szCs w:val="32"/>
        </w:rPr>
        <w:t>出现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某张</w:t>
      </w:r>
      <w:r w:rsidR="0099440C">
        <w:rPr>
          <w:rFonts w:ascii="仿宋" w:eastAsia="仿宋" w:hAnsi="仿宋" w:cs="仿宋" w:hint="eastAsia"/>
          <w:bCs/>
          <w:sz w:val="32"/>
          <w:szCs w:val="32"/>
        </w:rPr>
        <w:t>计分表的一个或多个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项目</w:t>
      </w:r>
      <w:r w:rsidR="0099440C">
        <w:rPr>
          <w:rFonts w:ascii="仿宋" w:eastAsia="仿宋" w:hAnsi="仿宋" w:cs="仿宋" w:hint="eastAsia"/>
          <w:bCs/>
          <w:sz w:val="32"/>
          <w:szCs w:val="32"/>
        </w:rPr>
        <w:t>得分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超</w:t>
      </w:r>
      <w:r w:rsidR="0099440C">
        <w:rPr>
          <w:rFonts w:ascii="仿宋" w:eastAsia="仿宋" w:hAnsi="仿宋" w:cs="仿宋" w:hint="eastAsia"/>
          <w:bCs/>
          <w:sz w:val="32"/>
          <w:szCs w:val="32"/>
        </w:rPr>
        <w:t>出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规定的分值范围，则该张</w:t>
      </w:r>
      <w:r w:rsidR="0099440C">
        <w:rPr>
          <w:rFonts w:ascii="仿宋" w:eastAsia="仿宋" w:hAnsi="仿宋" w:cs="仿宋" w:hint="eastAsia"/>
          <w:bCs/>
          <w:sz w:val="32"/>
          <w:szCs w:val="32"/>
        </w:rPr>
        <w:t>计分表</w:t>
      </w:r>
      <w:r>
        <w:rPr>
          <w:rFonts w:ascii="仿宋" w:eastAsia="仿宋" w:hAnsi="仿宋" w:cs="仿宋" w:hint="eastAsia"/>
          <w:bCs/>
          <w:sz w:val="32"/>
          <w:szCs w:val="32"/>
        </w:rPr>
        <w:t>视作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无效。各评</w:t>
      </w:r>
      <w:r>
        <w:rPr>
          <w:rFonts w:ascii="仿宋" w:eastAsia="仿宋" w:hAnsi="仿宋" w:cs="仿宋" w:hint="eastAsia"/>
          <w:bCs/>
          <w:sz w:val="32"/>
          <w:szCs w:val="32"/>
        </w:rPr>
        <w:t>委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会成员对各项评分内容评分合计的算术平均值为各投标人资信</w:t>
      </w:r>
      <w:r>
        <w:rPr>
          <w:rFonts w:ascii="仿宋" w:eastAsia="仿宋" w:hAnsi="仿宋" w:cs="仿宋" w:hint="eastAsia"/>
          <w:bCs/>
          <w:sz w:val="32"/>
          <w:szCs w:val="32"/>
        </w:rPr>
        <w:t>技术</w:t>
      </w:r>
      <w:r w:rsidR="0099440C" w:rsidRPr="00020434">
        <w:rPr>
          <w:rFonts w:ascii="仿宋" w:eastAsia="仿宋" w:hAnsi="仿宋" w:cs="仿宋" w:hint="eastAsia"/>
          <w:bCs/>
          <w:sz w:val="32"/>
          <w:szCs w:val="32"/>
        </w:rPr>
        <w:t>文件得分（小数点后按四舍五入保留2位）。</w:t>
      </w:r>
    </w:p>
    <w:p w:rsidR="0099440C" w:rsidRPr="00020434" w:rsidRDefault="0099440C" w:rsidP="000D347B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</w:t>
      </w:r>
      <w:r w:rsidRPr="00020434">
        <w:rPr>
          <w:rFonts w:ascii="仿宋" w:eastAsia="仿宋" w:hAnsi="仿宋" w:cs="仿宋" w:hint="eastAsia"/>
          <w:bCs/>
          <w:sz w:val="32"/>
          <w:szCs w:val="32"/>
        </w:rPr>
        <w:t>商务评分（</w:t>
      </w:r>
      <w:r>
        <w:rPr>
          <w:rFonts w:ascii="仿宋" w:eastAsia="仿宋" w:hAnsi="仿宋" w:cs="仿宋"/>
          <w:bCs/>
          <w:sz w:val="32"/>
          <w:szCs w:val="32"/>
        </w:rPr>
        <w:t>2</w:t>
      </w:r>
      <w:r w:rsidRPr="00020434">
        <w:rPr>
          <w:rFonts w:ascii="仿宋" w:eastAsia="仿宋" w:hAnsi="仿宋" w:cs="仿宋" w:hint="eastAsia"/>
          <w:bCs/>
          <w:sz w:val="32"/>
          <w:szCs w:val="32"/>
        </w:rPr>
        <w:t>0分）</w:t>
      </w:r>
    </w:p>
    <w:p w:rsidR="00BC5379" w:rsidRDefault="0099440C" w:rsidP="000D347B">
      <w:pPr>
        <w:spacing w:line="58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020434">
        <w:rPr>
          <w:rFonts w:ascii="仿宋" w:eastAsia="仿宋" w:hAnsi="仿宋" w:cs="仿宋" w:hint="eastAsia"/>
          <w:bCs/>
          <w:sz w:val="32"/>
          <w:szCs w:val="32"/>
        </w:rPr>
        <w:t>本次商务文件评分由各评委</w:t>
      </w:r>
      <w:r w:rsidR="00090F70">
        <w:rPr>
          <w:rFonts w:ascii="仿宋" w:eastAsia="仿宋" w:hAnsi="仿宋" w:cs="仿宋" w:hint="eastAsia"/>
          <w:bCs/>
          <w:sz w:val="32"/>
          <w:szCs w:val="32"/>
        </w:rPr>
        <w:t>会</w:t>
      </w:r>
      <w:r w:rsidRPr="00020434">
        <w:rPr>
          <w:rFonts w:ascii="仿宋" w:eastAsia="仿宋" w:hAnsi="仿宋" w:cs="仿宋" w:hint="eastAsia"/>
          <w:bCs/>
          <w:sz w:val="32"/>
          <w:szCs w:val="32"/>
        </w:rPr>
        <w:t>成员按评分细则进行评审打分（小数点后按四舍五入保留2位）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99440C" w:rsidRDefault="0099440C" w:rsidP="000D347B">
      <w:pPr>
        <w:spacing w:line="58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三、评分细则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588"/>
        <w:gridCol w:w="4329"/>
        <w:gridCol w:w="2153"/>
      </w:tblGrid>
      <w:tr w:rsidR="0099440C" w:rsidRPr="00020434" w:rsidTr="007603C9">
        <w:trPr>
          <w:trHeight w:val="613"/>
        </w:trPr>
        <w:tc>
          <w:tcPr>
            <w:tcW w:w="1197" w:type="pct"/>
            <w:gridSpan w:val="2"/>
            <w:vAlign w:val="center"/>
          </w:tcPr>
          <w:p w:rsidR="0099440C" w:rsidRPr="00020434" w:rsidRDefault="0099440C" w:rsidP="007603C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评分项目</w:t>
            </w:r>
          </w:p>
        </w:tc>
        <w:tc>
          <w:tcPr>
            <w:tcW w:w="2540" w:type="pct"/>
            <w:vAlign w:val="center"/>
          </w:tcPr>
          <w:p w:rsidR="0099440C" w:rsidRPr="00020434" w:rsidRDefault="0099440C" w:rsidP="007603C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评标要求</w:t>
            </w:r>
          </w:p>
        </w:tc>
        <w:tc>
          <w:tcPr>
            <w:tcW w:w="1263" w:type="pct"/>
            <w:vAlign w:val="center"/>
          </w:tcPr>
          <w:p w:rsidR="0099440C" w:rsidRPr="00020434" w:rsidRDefault="0099440C" w:rsidP="007603C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99440C" w:rsidRPr="00020434" w:rsidTr="007603C9">
        <w:trPr>
          <w:trHeight w:val="613"/>
        </w:trPr>
        <w:tc>
          <w:tcPr>
            <w:tcW w:w="5000" w:type="pct"/>
            <w:gridSpan w:val="4"/>
            <w:vAlign w:val="center"/>
          </w:tcPr>
          <w:p w:rsidR="0099440C" w:rsidRPr="00020434" w:rsidRDefault="0099440C" w:rsidP="007603C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资信技术分（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8</w:t>
            </w: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0分）</w:t>
            </w:r>
          </w:p>
        </w:tc>
      </w:tr>
      <w:tr w:rsidR="0099440C" w:rsidRPr="006638AE" w:rsidTr="00CD46ED">
        <w:trPr>
          <w:trHeight w:val="1987"/>
        </w:trPr>
        <w:tc>
          <w:tcPr>
            <w:tcW w:w="852" w:type="pct"/>
            <w:vAlign w:val="center"/>
          </w:tcPr>
          <w:p w:rsidR="0099440C" w:rsidRPr="00020434" w:rsidRDefault="0099440C" w:rsidP="007603C9">
            <w:pPr>
              <w:spacing w:line="44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类似业绩（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3</w:t>
            </w: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885" w:type="pct"/>
            <w:gridSpan w:val="2"/>
            <w:vAlign w:val="center"/>
          </w:tcPr>
          <w:p w:rsidR="0099440C" w:rsidRPr="006638AE" w:rsidRDefault="0099440C" w:rsidP="000D347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投标人最近</w:t>
            </w:r>
            <w:r w:rsidR="00837FE3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年（从201</w:t>
            </w:r>
            <w:r w:rsidR="00837FE3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年1月1日起）内参与</w:t>
            </w:r>
            <w:r w:rsidR="00090F70">
              <w:rPr>
                <w:rFonts w:ascii="仿宋" w:eastAsia="仿宋" w:hAnsi="仿宋" w:cs="仿宋" w:hint="eastAsia"/>
                <w:bCs/>
                <w:sz w:val="28"/>
                <w:szCs w:val="28"/>
              </w:rPr>
              <w:t>过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人防发展规划编制的，每个得</w:t>
            </w:r>
            <w:r w:rsidRPr="006638AE">
              <w:rPr>
                <w:rFonts w:ascii="仿宋" w:eastAsia="仿宋" w:hAnsi="仿宋" w:cs="仿宋"/>
                <w:bCs/>
                <w:sz w:val="28"/>
                <w:szCs w:val="28"/>
              </w:rPr>
              <w:t>3</w:t>
            </w:r>
            <w:r w:rsidR="00090F7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分。本项最高得</w:t>
            </w:r>
            <w:r w:rsidRPr="006638AE">
              <w:rPr>
                <w:rFonts w:ascii="仿宋" w:eastAsia="仿宋" w:hAnsi="仿宋" w:cs="仿宋"/>
                <w:bCs/>
                <w:sz w:val="28"/>
                <w:szCs w:val="28"/>
              </w:rPr>
              <w:t>3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分，无项目得0分。</w:t>
            </w:r>
          </w:p>
        </w:tc>
        <w:tc>
          <w:tcPr>
            <w:tcW w:w="1263" w:type="pct"/>
            <w:vAlign w:val="center"/>
          </w:tcPr>
          <w:p w:rsidR="0099440C" w:rsidRPr="006638AE" w:rsidRDefault="0099440C" w:rsidP="000D347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①提供项目合同扫描件；</w:t>
            </w:r>
          </w:p>
          <w:p w:rsidR="0099440C" w:rsidRPr="006638AE" w:rsidRDefault="0099440C" w:rsidP="000D347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②未提供扫描件不得分。</w:t>
            </w:r>
          </w:p>
        </w:tc>
      </w:tr>
      <w:tr w:rsidR="0099440C" w:rsidRPr="006638AE" w:rsidTr="007603C9">
        <w:trPr>
          <w:trHeight w:val="1199"/>
        </w:trPr>
        <w:tc>
          <w:tcPr>
            <w:tcW w:w="852" w:type="pct"/>
            <w:vAlign w:val="center"/>
          </w:tcPr>
          <w:p w:rsidR="0099440C" w:rsidRPr="00020434" w:rsidRDefault="0099440C" w:rsidP="00CD46ED">
            <w:pPr>
              <w:spacing w:line="44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项目负责人（</w:t>
            </w:r>
            <w:r w:rsidR="00CD46ED">
              <w:rPr>
                <w:rFonts w:ascii="仿宋" w:eastAsia="仿宋" w:hAnsi="仿宋" w:cs="仿宋" w:hint="eastAsia"/>
                <w:b/>
                <w:sz w:val="28"/>
                <w:szCs w:val="28"/>
              </w:rPr>
              <w:t>2</w:t>
            </w: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885" w:type="pct"/>
            <w:gridSpan w:val="2"/>
            <w:vAlign w:val="center"/>
          </w:tcPr>
          <w:p w:rsidR="0099440C" w:rsidRPr="006638AE" w:rsidRDefault="0099440C" w:rsidP="000D347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项目负责人最近</w:t>
            </w:r>
            <w:r w:rsidR="00837FE3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年（从201</w:t>
            </w:r>
            <w:r w:rsidR="00837FE3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年1月1日起）内参与</w:t>
            </w:r>
            <w:r w:rsidR="00090F70">
              <w:rPr>
                <w:rFonts w:ascii="仿宋" w:eastAsia="仿宋" w:hAnsi="仿宋" w:cs="仿宋" w:hint="eastAsia"/>
                <w:bCs/>
                <w:sz w:val="28"/>
                <w:szCs w:val="28"/>
              </w:rPr>
              <w:t>过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人防发展规划编制的得</w:t>
            </w:r>
            <w:r w:rsidR="00CD46ED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  <w:r w:rsidR="00090F7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分。本项最高得</w:t>
            </w:r>
            <w:r w:rsidR="00CD46ED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  <w:r w:rsidR="00090F7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分，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无项目得0分。</w:t>
            </w:r>
          </w:p>
        </w:tc>
        <w:tc>
          <w:tcPr>
            <w:tcW w:w="1263" w:type="pct"/>
            <w:vAlign w:val="center"/>
          </w:tcPr>
          <w:p w:rsidR="0099440C" w:rsidRPr="006638AE" w:rsidRDefault="0099440C" w:rsidP="000D347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①提供项目合同扫描件；</w:t>
            </w:r>
          </w:p>
          <w:p w:rsidR="0099440C" w:rsidRPr="006638AE" w:rsidRDefault="0099440C" w:rsidP="000D347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②未提供扫描件不得分。</w:t>
            </w:r>
          </w:p>
        </w:tc>
      </w:tr>
      <w:tr w:rsidR="0099440C" w:rsidRPr="006638AE" w:rsidTr="007603C9">
        <w:trPr>
          <w:trHeight w:val="182"/>
        </w:trPr>
        <w:tc>
          <w:tcPr>
            <w:tcW w:w="852" w:type="pct"/>
            <w:vMerge w:val="restart"/>
            <w:vAlign w:val="center"/>
          </w:tcPr>
          <w:p w:rsidR="00CD46ED" w:rsidRDefault="00CD46ED" w:rsidP="007603C9">
            <w:pPr>
              <w:spacing w:line="44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9440C" w:rsidRPr="00020434" w:rsidRDefault="0099440C" w:rsidP="00CD46ED">
            <w:pPr>
              <w:spacing w:line="44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技术分（7</w:t>
            </w:r>
            <w:r w:rsidR="00CD46ED">
              <w:rPr>
                <w:rFonts w:ascii="仿宋" w:eastAsia="仿宋" w:hAnsi="仿宋" w:cs="仿宋" w:hint="eastAsia"/>
                <w:b/>
                <w:sz w:val="28"/>
                <w:szCs w:val="28"/>
              </w:rPr>
              <w:t>5</w:t>
            </w: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885" w:type="pct"/>
            <w:gridSpan w:val="2"/>
            <w:vAlign w:val="center"/>
          </w:tcPr>
          <w:p w:rsidR="0099440C" w:rsidRPr="006638AE" w:rsidRDefault="0099440C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投标方案的合理性、科学性、全面性，本项最高得</w:t>
            </w:r>
            <w:r w:rsidRPr="006638AE">
              <w:rPr>
                <w:rFonts w:ascii="仿宋" w:eastAsia="仿宋" w:hAnsi="仿宋" w:cs="仿宋"/>
                <w:bCs/>
                <w:sz w:val="28"/>
                <w:szCs w:val="28"/>
              </w:rPr>
              <w:t>5</w:t>
            </w:r>
            <w:r w:rsidR="00655A5D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分：</w:t>
            </w:r>
          </w:p>
          <w:p w:rsidR="0099440C" w:rsidRPr="006638AE" w:rsidRDefault="0099440C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638AE">
              <w:rPr>
                <w:rFonts w:ascii="仿宋" w:eastAsia="仿宋" w:hAnsi="仿宋" w:cs="仿宋"/>
                <w:bCs/>
                <w:sz w:val="28"/>
                <w:szCs w:val="28"/>
              </w:rPr>
              <w:t>1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、有明确的规划编制技术路线；(0-</w:t>
            </w:r>
            <w:r w:rsidR="00CD46ED"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分)</w:t>
            </w:r>
          </w:p>
          <w:p w:rsidR="0099440C" w:rsidRPr="006638AE" w:rsidRDefault="0099440C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638AE">
              <w:rPr>
                <w:rFonts w:ascii="仿宋" w:eastAsia="仿宋" w:hAnsi="仿宋" w:cs="仿宋"/>
                <w:bCs/>
                <w:sz w:val="28"/>
                <w:szCs w:val="28"/>
              </w:rPr>
              <w:t>2</w:t>
            </w:r>
            <w:r w:rsidR="00090F70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对国家、浙江省人防主管部门政策把握清晰，提出的编制方案符合相关政策精神；（0</w:t>
            </w:r>
            <w:r w:rsidRPr="006638AE">
              <w:rPr>
                <w:rFonts w:ascii="仿宋" w:eastAsia="仿宋" w:hAnsi="仿宋" w:cs="仿宋"/>
                <w:bCs/>
                <w:sz w:val="28"/>
                <w:szCs w:val="28"/>
              </w:rPr>
              <w:t>-15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分）</w:t>
            </w:r>
          </w:p>
          <w:p w:rsidR="00090F70" w:rsidRDefault="0099440C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3、对规划成果的应用有明确构想，根据合理性与可操作性进行评分；（0</w:t>
            </w:r>
            <w:r w:rsidRPr="006638AE">
              <w:rPr>
                <w:rFonts w:ascii="仿宋" w:eastAsia="仿宋" w:hAnsi="仿宋" w:cs="仿宋"/>
                <w:bCs/>
                <w:sz w:val="28"/>
                <w:szCs w:val="28"/>
              </w:rPr>
              <w:t>-15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分）</w:t>
            </w:r>
          </w:p>
          <w:p w:rsidR="00090F70" w:rsidRDefault="00090F70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4、有明确的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组织实施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计划（0-</w:t>
            </w:r>
            <w:r w:rsidR="00CD46ED"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分）</w:t>
            </w:r>
          </w:p>
          <w:p w:rsidR="0099440C" w:rsidRPr="006638AE" w:rsidRDefault="0099440C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6638AE">
              <w:rPr>
                <w:rFonts w:ascii="仿宋" w:eastAsia="仿宋" w:hAnsi="仿宋" w:cs="仿宋"/>
                <w:bCs/>
                <w:sz w:val="28"/>
                <w:szCs w:val="28"/>
              </w:rPr>
              <w:t>5</w:t>
            </w:r>
            <w:r w:rsidRPr="006638AE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、投标方案的独到优势。（0-10分）</w:t>
            </w:r>
          </w:p>
        </w:tc>
        <w:tc>
          <w:tcPr>
            <w:tcW w:w="1263" w:type="pct"/>
            <w:vMerge w:val="restart"/>
            <w:vAlign w:val="center"/>
          </w:tcPr>
          <w:p w:rsidR="0099440C" w:rsidRPr="006638AE" w:rsidRDefault="0099440C" w:rsidP="007603C9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99440C" w:rsidRPr="00020434" w:rsidTr="007603C9">
        <w:trPr>
          <w:trHeight w:val="181"/>
        </w:trPr>
        <w:tc>
          <w:tcPr>
            <w:tcW w:w="852" w:type="pct"/>
            <w:vMerge/>
            <w:vAlign w:val="center"/>
          </w:tcPr>
          <w:p w:rsidR="0099440C" w:rsidRPr="00020434" w:rsidRDefault="0099440C" w:rsidP="007603C9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85" w:type="pct"/>
            <w:gridSpan w:val="2"/>
            <w:vAlign w:val="center"/>
          </w:tcPr>
          <w:p w:rsidR="0099440C" w:rsidRPr="00020434" w:rsidRDefault="0099440C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服务质量和项目进度完成保证情况（根据所安排参与项目从业人员素质、能力、资格、经验和人数，人员是否</w:t>
            </w:r>
            <w:r w:rsidR="00090F70">
              <w:rPr>
                <w:rFonts w:ascii="仿宋" w:eastAsia="仿宋" w:hAnsi="仿宋" w:cs="仿宋" w:hint="eastAsia"/>
                <w:bCs/>
                <w:sz w:val="28"/>
                <w:szCs w:val="28"/>
              </w:rPr>
              <w:t>具有相关课题的研究经验，项目可实现程度等情况综合评定对比打分）。</w:t>
            </w: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本项最高得7分。</w:t>
            </w:r>
          </w:p>
        </w:tc>
        <w:tc>
          <w:tcPr>
            <w:tcW w:w="1263" w:type="pct"/>
            <w:vMerge/>
            <w:vAlign w:val="center"/>
          </w:tcPr>
          <w:p w:rsidR="0099440C" w:rsidRPr="00020434" w:rsidRDefault="0099440C" w:rsidP="007603C9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99440C" w:rsidRPr="00020434" w:rsidTr="007603C9">
        <w:trPr>
          <w:trHeight w:val="181"/>
        </w:trPr>
        <w:tc>
          <w:tcPr>
            <w:tcW w:w="852" w:type="pct"/>
            <w:vMerge/>
            <w:vAlign w:val="center"/>
          </w:tcPr>
          <w:p w:rsidR="0099440C" w:rsidRPr="00020434" w:rsidRDefault="0099440C" w:rsidP="007603C9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85" w:type="pct"/>
            <w:gridSpan w:val="2"/>
            <w:vAlign w:val="center"/>
          </w:tcPr>
          <w:p w:rsidR="0099440C" w:rsidRPr="00020434" w:rsidRDefault="0099440C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服务承诺（根据售后服务方案、措施、响应时间等情况综合评定对比打分）</w:t>
            </w:r>
            <w:r w:rsidR="00090F70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</w:t>
            </w: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本项最高得3分。</w:t>
            </w:r>
          </w:p>
        </w:tc>
        <w:tc>
          <w:tcPr>
            <w:tcW w:w="1263" w:type="pct"/>
            <w:vMerge/>
            <w:vAlign w:val="center"/>
          </w:tcPr>
          <w:p w:rsidR="0099440C" w:rsidRPr="00020434" w:rsidRDefault="0099440C" w:rsidP="007603C9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99440C" w:rsidRPr="00020434" w:rsidTr="007603C9">
        <w:trPr>
          <w:trHeight w:val="181"/>
        </w:trPr>
        <w:tc>
          <w:tcPr>
            <w:tcW w:w="852" w:type="pct"/>
            <w:vMerge/>
            <w:vAlign w:val="center"/>
          </w:tcPr>
          <w:p w:rsidR="0099440C" w:rsidRPr="00020434" w:rsidRDefault="0099440C" w:rsidP="007603C9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85" w:type="pct"/>
            <w:gridSpan w:val="2"/>
            <w:vAlign w:val="center"/>
          </w:tcPr>
          <w:p w:rsidR="0099440C" w:rsidRPr="00020434" w:rsidRDefault="0099440C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对本项目的合理化建议（综合评定对比打分）</w:t>
            </w:r>
            <w:r w:rsidR="00090F70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</w:t>
            </w: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本项最高得7分。</w:t>
            </w:r>
          </w:p>
        </w:tc>
        <w:tc>
          <w:tcPr>
            <w:tcW w:w="1263" w:type="pct"/>
            <w:vMerge/>
            <w:vAlign w:val="center"/>
          </w:tcPr>
          <w:p w:rsidR="0099440C" w:rsidRPr="00020434" w:rsidRDefault="0099440C" w:rsidP="007603C9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99440C" w:rsidRPr="00020434" w:rsidTr="007603C9">
        <w:trPr>
          <w:trHeight w:val="181"/>
        </w:trPr>
        <w:tc>
          <w:tcPr>
            <w:tcW w:w="852" w:type="pct"/>
            <w:vMerge/>
            <w:vAlign w:val="center"/>
          </w:tcPr>
          <w:p w:rsidR="0099440C" w:rsidRPr="00020434" w:rsidRDefault="0099440C" w:rsidP="007603C9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85" w:type="pct"/>
            <w:gridSpan w:val="2"/>
            <w:vAlign w:val="center"/>
          </w:tcPr>
          <w:p w:rsidR="0099440C" w:rsidRPr="00020434" w:rsidRDefault="0099440C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根据投标文件编制有序、内容规范、字句清晰、表述完整等情况综合评定对比打分</w:t>
            </w:r>
            <w:r w:rsidR="00720A8D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</w:t>
            </w: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本项最高得3分。</w:t>
            </w:r>
          </w:p>
        </w:tc>
        <w:tc>
          <w:tcPr>
            <w:tcW w:w="1263" w:type="pct"/>
            <w:vMerge/>
            <w:vAlign w:val="center"/>
          </w:tcPr>
          <w:p w:rsidR="0099440C" w:rsidRPr="00020434" w:rsidRDefault="0099440C" w:rsidP="007603C9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99440C" w:rsidRPr="00020434" w:rsidTr="007603C9">
        <w:trPr>
          <w:trHeight w:val="530"/>
        </w:trPr>
        <w:tc>
          <w:tcPr>
            <w:tcW w:w="5000" w:type="pct"/>
            <w:gridSpan w:val="4"/>
            <w:vAlign w:val="center"/>
          </w:tcPr>
          <w:p w:rsidR="0099440C" w:rsidRPr="00020434" w:rsidRDefault="0099440C" w:rsidP="007603C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商务分（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2</w:t>
            </w: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0分）</w:t>
            </w:r>
          </w:p>
        </w:tc>
      </w:tr>
      <w:tr w:rsidR="0099440C" w:rsidRPr="00020434" w:rsidTr="007603C9">
        <w:trPr>
          <w:trHeight w:val="933"/>
        </w:trPr>
        <w:tc>
          <w:tcPr>
            <w:tcW w:w="852" w:type="pct"/>
            <w:vAlign w:val="center"/>
          </w:tcPr>
          <w:p w:rsidR="0099440C" w:rsidRPr="00020434" w:rsidRDefault="0099440C" w:rsidP="007603C9">
            <w:pPr>
              <w:spacing w:line="44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价格部分（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2</w:t>
            </w:r>
            <w:r w:rsidRPr="00020434">
              <w:rPr>
                <w:rFonts w:ascii="仿宋" w:eastAsia="仿宋" w:hAnsi="仿宋" w:cs="仿宋" w:hint="eastAsia"/>
                <w:b/>
                <w:sz w:val="28"/>
                <w:szCs w:val="28"/>
              </w:rPr>
              <w:t>0分）</w:t>
            </w:r>
          </w:p>
        </w:tc>
        <w:tc>
          <w:tcPr>
            <w:tcW w:w="2885" w:type="pct"/>
            <w:gridSpan w:val="2"/>
            <w:vAlign w:val="center"/>
          </w:tcPr>
          <w:p w:rsidR="0099440C" w:rsidRPr="00020434" w:rsidRDefault="0099440C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1.评标基准价：取所有有效报价的最低价</w:t>
            </w:r>
            <w:r w:rsidR="00720A8D"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作为评标基准价</w:t>
            </w: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</w:t>
            </w:r>
          </w:p>
          <w:p w:rsidR="0099440C" w:rsidRPr="00020434" w:rsidRDefault="0099440C" w:rsidP="00F26123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2.商务</w:t>
            </w:r>
            <w:r w:rsidRPr="00020434">
              <w:rPr>
                <w:rFonts w:ascii="仿宋" w:eastAsia="仿宋" w:hAnsi="仿宋" w:cs="仿宋"/>
                <w:bCs/>
                <w:sz w:val="28"/>
                <w:szCs w:val="28"/>
              </w:rPr>
              <w:t>分计算</w:t>
            </w: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：投标报价得分=(评标基准价／有效投标</w:t>
            </w:r>
            <w:r w:rsidR="00720A8D">
              <w:rPr>
                <w:rFonts w:ascii="仿宋" w:eastAsia="仿宋" w:hAnsi="仿宋" w:cs="仿宋" w:hint="eastAsia"/>
                <w:bCs/>
                <w:sz w:val="28"/>
                <w:szCs w:val="28"/>
              </w:rPr>
              <w:t>的</w:t>
            </w: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报价)×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</w:t>
            </w:r>
            <w:r w:rsidRPr="00020434">
              <w:rPr>
                <w:rFonts w:ascii="仿宋" w:eastAsia="仿宋" w:hAnsi="仿宋" w:cs="仿宋" w:hint="eastAsia"/>
                <w:bCs/>
                <w:sz w:val="28"/>
                <w:szCs w:val="28"/>
              </w:rPr>
              <w:t>0%×100（小数点后按四舍五入原则保留2位）</w:t>
            </w:r>
            <w:r w:rsidRPr="00020434">
              <w:rPr>
                <w:rFonts w:ascii="仿宋" w:eastAsia="仿宋" w:hAnsi="仿宋" w:cs="仿宋"/>
                <w:bCs/>
                <w:sz w:val="28"/>
                <w:szCs w:val="28"/>
              </w:rPr>
              <w:t>。</w:t>
            </w:r>
          </w:p>
        </w:tc>
        <w:tc>
          <w:tcPr>
            <w:tcW w:w="1263" w:type="pct"/>
            <w:vAlign w:val="center"/>
          </w:tcPr>
          <w:p w:rsidR="0099440C" w:rsidRPr="00020434" w:rsidRDefault="0099440C" w:rsidP="007603C9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99440C" w:rsidRPr="0099440C" w:rsidRDefault="0099440C" w:rsidP="0099440C">
      <w:pPr>
        <w:ind w:firstLine="645"/>
      </w:pPr>
      <w:r w:rsidRPr="00C42001">
        <w:rPr>
          <w:rFonts w:ascii="仿宋" w:eastAsia="仿宋" w:hAnsi="仿宋" w:cs="仿宋" w:hint="eastAsia"/>
          <w:bCs/>
          <w:sz w:val="32"/>
          <w:szCs w:val="32"/>
        </w:rPr>
        <w:t>投标人的综合得分=资信技术分+商务分。</w:t>
      </w:r>
    </w:p>
    <w:sectPr w:rsidR="0099440C" w:rsidRPr="0099440C" w:rsidSect="00BC5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E5" w:rsidRDefault="007315E5" w:rsidP="009719FD">
      <w:r>
        <w:separator/>
      </w:r>
    </w:p>
  </w:endnote>
  <w:endnote w:type="continuationSeparator" w:id="1">
    <w:p w:rsidR="007315E5" w:rsidRDefault="007315E5" w:rsidP="0097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E5" w:rsidRDefault="007315E5" w:rsidP="009719FD">
      <w:r>
        <w:separator/>
      </w:r>
    </w:p>
  </w:footnote>
  <w:footnote w:type="continuationSeparator" w:id="1">
    <w:p w:rsidR="007315E5" w:rsidRDefault="007315E5" w:rsidP="00971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AA71"/>
    <w:multiLevelType w:val="singleLevel"/>
    <w:tmpl w:val="5EDDAA7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379"/>
    <w:rsid w:val="00090F70"/>
    <w:rsid w:val="000D347B"/>
    <w:rsid w:val="00132C10"/>
    <w:rsid w:val="00133119"/>
    <w:rsid w:val="001367DD"/>
    <w:rsid w:val="00147BB7"/>
    <w:rsid w:val="0016036A"/>
    <w:rsid w:val="00253FD1"/>
    <w:rsid w:val="002F2F25"/>
    <w:rsid w:val="0036239A"/>
    <w:rsid w:val="00471D0F"/>
    <w:rsid w:val="00655A5D"/>
    <w:rsid w:val="00720A8D"/>
    <w:rsid w:val="007315E5"/>
    <w:rsid w:val="007C6742"/>
    <w:rsid w:val="00837FE3"/>
    <w:rsid w:val="00874577"/>
    <w:rsid w:val="008D02D1"/>
    <w:rsid w:val="009719FD"/>
    <w:rsid w:val="0099440C"/>
    <w:rsid w:val="00AD11A1"/>
    <w:rsid w:val="00B155E6"/>
    <w:rsid w:val="00BC5379"/>
    <w:rsid w:val="00BF2D7F"/>
    <w:rsid w:val="00CD46ED"/>
    <w:rsid w:val="00D40408"/>
    <w:rsid w:val="00DE29FF"/>
    <w:rsid w:val="00E922A2"/>
    <w:rsid w:val="00F26123"/>
    <w:rsid w:val="092F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3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BC5379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3">
    <w:name w:val="header"/>
    <w:basedOn w:val="a"/>
    <w:link w:val="Char"/>
    <w:rsid w:val="00971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19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71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19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zyj</cp:lastModifiedBy>
  <cp:revision>13</cp:revision>
  <cp:lastPrinted>2020-07-16T06:07:00Z</cp:lastPrinted>
  <dcterms:created xsi:type="dcterms:W3CDTF">2014-10-29T12:08:00Z</dcterms:created>
  <dcterms:modified xsi:type="dcterms:W3CDTF">2020-07-16T06:07:00Z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